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line="24" w:lineRule="atLeast"/>
        <w:rPr>
          <w:rFonts w:hint="eastAsia" w:ascii="方正黑体_GBK" w:hAnsi="Arial Narrow" w:eastAsia="方正黑体_GBK" w:cs="宋体"/>
          <w:sz w:val="28"/>
          <w:szCs w:val="28"/>
        </w:rPr>
      </w:pPr>
      <w:r>
        <w:rPr>
          <w:rFonts w:hint="eastAsia" w:ascii="方正黑体_GBK" w:hAnsi="Arial Narrow" w:eastAsia="方正黑体_GBK" w:cs="宋体"/>
          <w:sz w:val="28"/>
          <w:szCs w:val="28"/>
        </w:rPr>
        <w:t>附件1</w:t>
      </w:r>
    </w:p>
    <w:p>
      <w:pPr>
        <w:widowControl/>
        <w:jc w:val="left"/>
        <w:rPr>
          <w:rFonts w:ascii="Arial Narrow" w:hAnsi="Arial Narrow" w:eastAsia="仿宋_GB2312" w:cs="宋体"/>
          <w:sz w:val="30"/>
          <w:szCs w:val="30"/>
        </w:rPr>
      </w:pPr>
      <w:r>
        <w:rPr>
          <w:rFonts w:hint="eastAsia" w:ascii="Arial Narrow" w:hAnsi="Arial Narrow" w:eastAsia="仿宋_GB2312" w:cs="宋体"/>
          <w:sz w:val="30"/>
          <w:szCs w:val="30"/>
        </w:rPr>
        <w:t>封面：</w:t>
      </w:r>
    </w:p>
    <w:p>
      <w:pPr>
        <w:snapToGrid w:val="0"/>
        <w:spacing w:line="540" w:lineRule="exact"/>
        <w:jc w:val="center"/>
        <w:rPr>
          <w:rFonts w:ascii="Arial Narrow" w:hAnsi="黑体" w:eastAsia="黑体"/>
          <w:b/>
          <w:sz w:val="36"/>
          <w:szCs w:val="36"/>
        </w:rPr>
      </w:pPr>
    </w:p>
    <w:p>
      <w:pPr>
        <w:snapToGrid w:val="0"/>
        <w:spacing w:line="540" w:lineRule="exact"/>
        <w:jc w:val="center"/>
        <w:rPr>
          <w:rFonts w:hint="eastAsia" w:ascii="方正小标宋_GBK" w:hAnsi="黑体" w:eastAsia="方正小标宋_GBK"/>
          <w:b/>
          <w:sz w:val="44"/>
          <w:szCs w:val="44"/>
          <w:lang w:eastAsia="zh-CN"/>
        </w:rPr>
      </w:pPr>
      <w:r>
        <w:rPr>
          <w:rFonts w:hint="eastAsia" w:ascii="方正小标宋_GBK" w:hAnsi="黑体" w:eastAsia="方正小标宋_GBK"/>
          <w:b/>
          <w:sz w:val="44"/>
          <w:szCs w:val="44"/>
        </w:rPr>
        <w:t>202</w:t>
      </w:r>
      <w:r>
        <w:rPr>
          <w:rFonts w:hint="eastAsia" w:ascii="方正小标宋_GBK" w:hAnsi="黑体" w:eastAsia="方正小标宋_GBK"/>
          <w:b/>
          <w:sz w:val="44"/>
          <w:szCs w:val="44"/>
          <w:lang w:val="en-US" w:eastAsia="zh-CN"/>
        </w:rPr>
        <w:t>3</w:t>
      </w:r>
      <w:r>
        <w:rPr>
          <w:rFonts w:hint="eastAsia" w:ascii="方正小标宋_GBK" w:hAnsi="黑体" w:eastAsia="方正小标宋_GBK"/>
          <w:b/>
          <w:sz w:val="44"/>
          <w:szCs w:val="44"/>
        </w:rPr>
        <w:t>年</w:t>
      </w:r>
      <w:r>
        <w:rPr>
          <w:rFonts w:hint="eastAsia" w:ascii="方正小标宋_GBK" w:hAnsi="黑体" w:eastAsia="方正小标宋_GBK"/>
          <w:b/>
          <w:sz w:val="44"/>
          <w:szCs w:val="44"/>
          <w:lang w:eastAsia="zh-CN"/>
        </w:rPr>
        <w:t>安徽职业技术学院校级技能竞赛</w:t>
      </w:r>
    </w:p>
    <w:p>
      <w:pPr>
        <w:snapToGrid w:val="0"/>
        <w:spacing w:line="540" w:lineRule="exact"/>
        <w:jc w:val="center"/>
        <w:rPr>
          <w:rFonts w:hint="eastAsia" w:ascii="方正小标宋_GBK" w:hAnsi="Arial Narrow" w:eastAsia="方正小标宋_GBK"/>
          <w:b/>
          <w:sz w:val="44"/>
          <w:szCs w:val="44"/>
        </w:rPr>
      </w:pPr>
      <w:r>
        <w:rPr>
          <w:rFonts w:hint="eastAsia" w:ascii="方正小标宋_GBK" w:hAnsi="黑体" w:eastAsia="方正小标宋_GBK"/>
          <w:b/>
          <w:sz w:val="44"/>
          <w:szCs w:val="44"/>
          <w:lang w:eastAsia="zh-CN"/>
        </w:rPr>
        <w:t>赛项</w:t>
      </w:r>
      <w:r>
        <w:rPr>
          <w:rFonts w:hint="eastAsia" w:ascii="方正小标宋_GBK" w:hAnsi="黑体" w:eastAsia="方正小标宋_GBK"/>
          <w:b/>
          <w:sz w:val="44"/>
          <w:szCs w:val="44"/>
        </w:rPr>
        <w:t>申报书</w:t>
      </w:r>
    </w:p>
    <w:p>
      <w:pPr>
        <w:snapToGrid w:val="0"/>
        <w:spacing w:line="560" w:lineRule="exact"/>
        <w:rPr>
          <w:rFonts w:ascii="Arial Narrow" w:hAnsi="Arial Narrow" w:eastAsia="仿宋_GB2312"/>
          <w:sz w:val="30"/>
          <w:szCs w:val="30"/>
        </w:rPr>
      </w:pPr>
    </w:p>
    <w:p>
      <w:pPr>
        <w:snapToGrid w:val="0"/>
        <w:spacing w:line="560" w:lineRule="exact"/>
        <w:ind w:firstLine="640" w:firstLineChars="200"/>
        <w:rPr>
          <w:rFonts w:hint="eastAsia" w:ascii="方正仿宋_GBK" w:hAnsi="Arial Narrow" w:eastAsia="方正仿宋_GBK"/>
          <w:sz w:val="32"/>
          <w:szCs w:val="32"/>
        </w:rPr>
      </w:pPr>
      <w:r>
        <w:rPr>
          <w:rFonts w:hint="eastAsia" w:ascii="方正仿宋_GBK" w:hAnsi="Arial Narrow" w:eastAsia="方正仿宋_GBK"/>
          <w:sz w:val="32"/>
          <w:szCs w:val="32"/>
        </w:rPr>
        <w:t>赛项名称：</w:t>
      </w:r>
    </w:p>
    <w:p>
      <w:pPr>
        <w:snapToGrid w:val="0"/>
        <w:spacing w:line="560" w:lineRule="exact"/>
        <w:ind w:firstLine="640" w:firstLineChars="200"/>
        <w:rPr>
          <w:rFonts w:hint="eastAsia" w:ascii="方正仿宋_GBK" w:hAnsi="Arial Narrow" w:eastAsia="方正仿宋_GBK"/>
          <w:sz w:val="32"/>
          <w:szCs w:val="32"/>
        </w:rPr>
      </w:pPr>
      <w:r>
        <w:rPr>
          <w:rFonts w:hint="eastAsia" w:ascii="方正仿宋_GBK" w:hAnsi="Arial Narrow" w:eastAsia="方正仿宋_GBK"/>
          <w:sz w:val="32"/>
          <w:szCs w:val="32"/>
        </w:rPr>
        <w:t>涉及的专业大类/类：</w:t>
      </w:r>
    </w:p>
    <w:p>
      <w:pPr>
        <w:snapToGrid w:val="0"/>
        <w:spacing w:line="560" w:lineRule="exact"/>
        <w:ind w:firstLine="640" w:firstLineChars="200"/>
        <w:rPr>
          <w:rFonts w:hint="eastAsia" w:ascii="方正仿宋_GBK" w:hAnsi="Arial Narrow" w:eastAsia="方正仿宋_GBK"/>
          <w:sz w:val="32"/>
          <w:szCs w:val="32"/>
        </w:rPr>
      </w:pPr>
      <w:r>
        <w:rPr>
          <w:rFonts w:hint="eastAsia" w:ascii="方正仿宋_GBK" w:hAnsi="Arial Narrow" w:eastAsia="方正仿宋_GBK"/>
          <w:sz w:val="32"/>
          <w:szCs w:val="32"/>
        </w:rPr>
        <w:t>方案联合申报</w:t>
      </w:r>
      <w:r>
        <w:rPr>
          <w:rFonts w:hint="eastAsia" w:ascii="方正仿宋_GBK" w:hAnsi="Arial Narrow" w:eastAsia="方正仿宋_GBK"/>
          <w:sz w:val="32"/>
          <w:szCs w:val="32"/>
          <w:lang w:eastAsia="zh-CN"/>
        </w:rPr>
        <w:t>院部</w:t>
      </w:r>
      <w:r>
        <w:rPr>
          <w:rFonts w:hint="eastAsia" w:ascii="方正仿宋_GBK" w:hAnsi="Arial Narrow" w:eastAsia="方正仿宋_GBK"/>
          <w:sz w:val="32"/>
          <w:szCs w:val="32"/>
        </w:rPr>
        <w:t>（盖章）：</w:t>
      </w:r>
    </w:p>
    <w:p>
      <w:pPr>
        <w:snapToGrid w:val="0"/>
        <w:spacing w:line="560" w:lineRule="exact"/>
        <w:ind w:firstLine="640" w:firstLineChars="200"/>
        <w:rPr>
          <w:rFonts w:hint="eastAsia" w:ascii="方正仿宋_GBK" w:hAnsi="Arial Narrow" w:eastAsia="方正仿宋_GBK"/>
          <w:sz w:val="32"/>
          <w:szCs w:val="32"/>
        </w:rPr>
      </w:pPr>
    </w:p>
    <w:p>
      <w:pPr>
        <w:snapToGrid w:val="0"/>
        <w:spacing w:line="560" w:lineRule="exact"/>
        <w:ind w:firstLine="640" w:firstLineChars="200"/>
        <w:rPr>
          <w:rFonts w:hint="eastAsia" w:ascii="方正仿宋_GBK" w:hAnsi="Arial Narrow" w:eastAsia="方正仿宋_GBK"/>
          <w:sz w:val="32"/>
          <w:szCs w:val="32"/>
        </w:rPr>
      </w:pPr>
    </w:p>
    <w:p>
      <w:pPr>
        <w:snapToGrid w:val="0"/>
        <w:spacing w:line="560" w:lineRule="exact"/>
        <w:ind w:firstLine="640" w:firstLineChars="200"/>
        <w:rPr>
          <w:rFonts w:hint="eastAsia" w:ascii="方正仿宋_GBK" w:hAnsi="Arial Narrow" w:eastAsia="方正仿宋_GBK"/>
          <w:sz w:val="32"/>
          <w:szCs w:val="32"/>
        </w:rPr>
      </w:pPr>
    </w:p>
    <w:p>
      <w:pPr>
        <w:snapToGrid w:val="0"/>
        <w:spacing w:line="560" w:lineRule="exact"/>
        <w:ind w:firstLine="640" w:firstLineChars="200"/>
        <w:rPr>
          <w:rFonts w:hint="eastAsia" w:ascii="方正仿宋_GBK" w:hAnsi="Arial Narrow" w:eastAsia="方正仿宋_GBK"/>
          <w:sz w:val="32"/>
          <w:szCs w:val="32"/>
        </w:rPr>
      </w:pPr>
    </w:p>
    <w:p>
      <w:pPr>
        <w:snapToGrid w:val="0"/>
        <w:spacing w:line="560" w:lineRule="exact"/>
        <w:ind w:firstLine="640" w:firstLineChars="200"/>
        <w:rPr>
          <w:rFonts w:hint="eastAsia" w:ascii="方正仿宋_GBK" w:hAnsi="Arial Narrow" w:eastAsia="方正仿宋_GBK"/>
          <w:sz w:val="32"/>
          <w:szCs w:val="32"/>
        </w:rPr>
      </w:pPr>
      <w:r>
        <w:rPr>
          <w:rFonts w:hint="eastAsia" w:ascii="方正仿宋_GBK" w:hAnsi="Arial Narrow" w:eastAsia="方正仿宋_GBK"/>
          <w:sz w:val="32"/>
          <w:szCs w:val="32"/>
        </w:rPr>
        <w:t>方案申报单位联络人：</w:t>
      </w:r>
    </w:p>
    <w:p>
      <w:pPr>
        <w:snapToGrid w:val="0"/>
        <w:spacing w:line="560" w:lineRule="exact"/>
        <w:ind w:firstLine="640" w:firstLineChars="200"/>
        <w:rPr>
          <w:rFonts w:hint="eastAsia" w:ascii="方正仿宋_GBK" w:hAnsi="Arial Narrow" w:eastAsia="方正仿宋_GBK"/>
          <w:sz w:val="32"/>
          <w:szCs w:val="32"/>
        </w:rPr>
      </w:pPr>
      <w:r>
        <w:rPr>
          <w:rFonts w:hint="eastAsia" w:ascii="方正仿宋_GBK" w:hAnsi="Arial Narrow" w:eastAsia="方正仿宋_GBK"/>
          <w:sz w:val="32"/>
          <w:szCs w:val="32"/>
        </w:rPr>
        <w:t>联络</w:t>
      </w:r>
      <w:bookmarkStart w:id="0" w:name="_GoBack"/>
      <w:bookmarkEnd w:id="0"/>
      <w:r>
        <w:rPr>
          <w:rFonts w:hint="eastAsia" w:ascii="方正仿宋_GBK" w:hAnsi="Arial Narrow" w:eastAsia="方正仿宋_GBK"/>
          <w:sz w:val="32"/>
          <w:szCs w:val="32"/>
        </w:rPr>
        <w:t>人手机号码：</w:t>
      </w:r>
    </w:p>
    <w:p>
      <w:pPr>
        <w:snapToGrid w:val="0"/>
        <w:spacing w:line="560" w:lineRule="exact"/>
        <w:ind w:firstLine="640" w:firstLineChars="200"/>
        <w:rPr>
          <w:rFonts w:hint="eastAsia" w:ascii="方正仿宋_GBK" w:hAnsi="Arial Narrow" w:eastAsia="方正仿宋_GBK"/>
          <w:sz w:val="32"/>
          <w:szCs w:val="32"/>
        </w:rPr>
      </w:pPr>
      <w:r>
        <w:rPr>
          <w:rFonts w:hint="eastAsia" w:ascii="方正仿宋_GBK" w:hAnsi="Arial Narrow" w:eastAsia="方正仿宋_GBK"/>
          <w:sz w:val="32"/>
          <w:szCs w:val="32"/>
        </w:rPr>
        <w:t>申报日期：</w:t>
      </w:r>
    </w:p>
    <w:p>
      <w:pPr>
        <w:snapToGrid w:val="0"/>
        <w:spacing w:line="560" w:lineRule="exact"/>
        <w:rPr>
          <w:rFonts w:ascii="Arial Narrow" w:hAnsi="Arial Narrow" w:eastAsia="仿宋_GB2312"/>
          <w:sz w:val="30"/>
          <w:szCs w:val="30"/>
        </w:rPr>
      </w:pPr>
    </w:p>
    <w:p>
      <w:pPr>
        <w:widowControl/>
        <w:jc w:val="left"/>
        <w:rPr>
          <w:rFonts w:ascii="Arial Narrow" w:hAnsi="Arial Narrow" w:eastAsia="仿宋_GB2312" w:cs="Arial"/>
          <w:sz w:val="30"/>
          <w:szCs w:val="30"/>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widowControl/>
        <w:jc w:val="left"/>
        <w:rPr>
          <w:rFonts w:ascii="Arial Narrow" w:hAnsi="Arial Narrow" w:eastAsia="仿宋_GB2312" w:cs="Arial"/>
          <w:sz w:val="30"/>
          <w:szCs w:val="30"/>
        </w:rPr>
      </w:pPr>
      <w:r>
        <w:rPr>
          <w:rFonts w:hint="eastAsia" w:ascii="Arial Narrow" w:hAnsi="Arial Narrow" w:eastAsia="仿宋_GB2312" w:cs="Arial"/>
          <w:sz w:val="30"/>
          <w:szCs w:val="30"/>
        </w:rPr>
        <w:t>内容要求</w:t>
      </w:r>
      <w:r>
        <w:rPr>
          <w:rStyle w:val="10"/>
          <w:rFonts w:ascii="Arial Narrow" w:hAnsi="Arial Narrow" w:eastAsia="仿宋_GB2312"/>
          <w:sz w:val="30"/>
          <w:szCs w:val="30"/>
        </w:rPr>
        <w:footnoteReference w:id="0"/>
      </w:r>
      <w:r>
        <w:rPr>
          <w:rFonts w:hint="eastAsia" w:ascii="Arial Narrow" w:hAnsi="Arial Narrow" w:eastAsia="仿宋_GB2312" w:cs="Arial"/>
          <w:sz w:val="30"/>
          <w:szCs w:val="30"/>
        </w:rPr>
        <w:t>：</w:t>
      </w:r>
      <w:r>
        <w:rPr>
          <w:rFonts w:ascii="Arial Narrow" w:hAnsi="Arial Narrow" w:eastAsia="仿宋_GB2312" w:cs="Arial"/>
          <w:sz w:val="30"/>
          <w:szCs w:val="30"/>
        </w:rPr>
        <w:t xml:space="preserve">    </w:t>
      </w:r>
    </w:p>
    <w:p>
      <w:pPr>
        <w:snapToGrid w:val="0"/>
        <w:spacing w:line="540" w:lineRule="exact"/>
        <w:jc w:val="center"/>
        <w:rPr>
          <w:rFonts w:hint="eastAsia" w:ascii="方正小标宋_GBK" w:hAnsi="黑体" w:eastAsia="方正小标宋_GBK"/>
          <w:b/>
          <w:sz w:val="36"/>
          <w:szCs w:val="36"/>
        </w:rPr>
      </w:pPr>
      <w:r>
        <w:rPr>
          <w:rFonts w:hint="eastAsia" w:ascii="方正小标宋_GBK" w:hAnsi="黑体" w:eastAsia="方正小标宋_GBK"/>
          <w:b/>
          <w:sz w:val="36"/>
          <w:szCs w:val="36"/>
        </w:rPr>
        <w:t>2023年安徽职业技术学院校级技能竞赛</w:t>
      </w:r>
    </w:p>
    <w:p>
      <w:pPr>
        <w:snapToGrid w:val="0"/>
        <w:spacing w:line="540" w:lineRule="exact"/>
        <w:jc w:val="center"/>
        <w:rPr>
          <w:rFonts w:hint="eastAsia" w:ascii="方正小标宋_GBK" w:hAnsi="Arial Narrow" w:eastAsia="方正小标宋_GBK"/>
          <w:b/>
          <w:sz w:val="36"/>
          <w:szCs w:val="36"/>
        </w:rPr>
      </w:pPr>
      <w:r>
        <w:rPr>
          <w:rFonts w:hint="eastAsia" w:ascii="方正小标宋_GBK" w:hAnsi="黑体" w:eastAsia="方正小标宋_GBK"/>
          <w:b/>
          <w:sz w:val="36"/>
          <w:szCs w:val="36"/>
        </w:rPr>
        <w:t>赛项申报方案</w:t>
      </w:r>
    </w:p>
    <w:p>
      <w:pPr>
        <w:snapToGrid w:val="0"/>
        <w:spacing w:line="560" w:lineRule="exact"/>
        <w:ind w:firstLine="643" w:firstLineChars="200"/>
        <w:rPr>
          <w:rFonts w:hint="eastAsia" w:ascii="方正黑体_GBK" w:hAnsi="黑体" w:eastAsia="方正黑体_GBK" w:cs="黑体"/>
          <w:b/>
          <w:sz w:val="32"/>
          <w:szCs w:val="32"/>
        </w:rPr>
      </w:pPr>
      <w:r>
        <w:rPr>
          <w:rFonts w:hint="eastAsia" w:ascii="方正黑体_GBK" w:hAnsi="黑体" w:eastAsia="方正黑体_GBK" w:cs="黑体"/>
          <w:b/>
          <w:sz w:val="32"/>
          <w:szCs w:val="32"/>
        </w:rPr>
        <w:t>一、赛项名称</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（一）赛项名称</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应根据比赛的内容或核心技术或技能确定赛项名称，不能以单一技能、工种名称直接命名。</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（二）压题彩照</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一张反映赛项特点的彩色照片，照片像素不少于3264×2488。</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（三）赛项归属产业类型</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（四）赛项归属专业大类/类</w:t>
      </w:r>
    </w:p>
    <w:p>
      <w:pPr>
        <w:spacing w:line="560" w:lineRule="exact"/>
        <w:ind w:firstLine="600"/>
        <w:rPr>
          <w:rFonts w:hint="eastAsia" w:ascii="方正仿宋_GBK" w:hAnsi="Arial Narrow" w:eastAsia="方正仿宋_GBK" w:cs="Arial"/>
          <w:sz w:val="32"/>
          <w:szCs w:val="32"/>
        </w:rPr>
      </w:pPr>
      <w:r>
        <w:rPr>
          <w:rFonts w:hint="eastAsia" w:ascii="方正仿宋_GBK" w:hAnsi="Arial Narrow" w:eastAsia="方正仿宋_GBK" w:cs="Arial"/>
          <w:sz w:val="32"/>
          <w:szCs w:val="32"/>
        </w:rPr>
        <w:t>专业大类/类名称必须严格按照《普通高等学校高等职业教育（专科）专业目录（</w:t>
      </w:r>
      <w:r>
        <w:rPr>
          <w:rFonts w:hint="eastAsia" w:ascii="方正仿宋_GBK" w:hAnsi="仿宋_GB2312" w:eastAsia="方正仿宋_GBK" w:cs="仿宋_GB2312"/>
          <w:sz w:val="32"/>
          <w:szCs w:val="32"/>
        </w:rPr>
        <w:t>20</w:t>
      </w:r>
      <w:r>
        <w:rPr>
          <w:rFonts w:hint="eastAsia" w:ascii="方正仿宋_GBK" w:hAnsi="仿宋_GB2312" w:eastAsia="方正仿宋_GBK" w:cs="仿宋_GB2312"/>
          <w:sz w:val="32"/>
          <w:szCs w:val="32"/>
          <w:lang w:val="en-US" w:eastAsia="zh-CN"/>
        </w:rPr>
        <w:t>22</w:t>
      </w:r>
      <w:r>
        <w:rPr>
          <w:rFonts w:hint="eastAsia" w:ascii="方正仿宋_GBK" w:hAnsi="仿宋_GB2312" w:eastAsia="方正仿宋_GBK" w:cs="仿宋_GB2312"/>
          <w:sz w:val="32"/>
          <w:szCs w:val="32"/>
        </w:rPr>
        <w:t>年</w:t>
      </w:r>
      <w:r>
        <w:rPr>
          <w:rFonts w:hint="eastAsia" w:ascii="方正仿宋_GBK" w:hAnsi="Arial Narrow" w:eastAsia="方正仿宋_GBK" w:cs="Arial"/>
          <w:sz w:val="32"/>
          <w:szCs w:val="32"/>
        </w:rPr>
        <w:t>）》填写，可多选。</w:t>
      </w:r>
    </w:p>
    <w:p>
      <w:pPr>
        <w:snapToGrid w:val="0"/>
        <w:spacing w:line="560" w:lineRule="exact"/>
        <w:ind w:firstLine="643" w:firstLineChars="200"/>
        <w:rPr>
          <w:rFonts w:hint="eastAsia" w:ascii="方正黑体_GBK" w:hAnsi="Arial Narrow" w:eastAsia="方正黑体_GBK" w:cs="Arial"/>
          <w:b/>
          <w:sz w:val="32"/>
          <w:szCs w:val="32"/>
        </w:rPr>
      </w:pPr>
      <w:r>
        <w:rPr>
          <w:rFonts w:hint="eastAsia" w:ascii="方正黑体_GBK" w:hAnsi="黑体" w:eastAsia="方正黑体_GBK" w:cs="黑体"/>
          <w:b/>
          <w:sz w:val="32"/>
          <w:szCs w:val="32"/>
        </w:rPr>
        <w:t>二、赛项目的</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围绕引领职业院校专业建设与课程改革，促进产教融合、校企合作、产业发展，展示职教改革成果及师生良好精神面貌等方面阐明赛项设计的目的和意义。（350字以内）</w:t>
      </w:r>
    </w:p>
    <w:p>
      <w:pPr>
        <w:snapToGrid w:val="0"/>
        <w:spacing w:line="560" w:lineRule="exact"/>
        <w:ind w:firstLine="643" w:firstLineChars="200"/>
        <w:rPr>
          <w:rFonts w:hint="eastAsia" w:ascii="方正黑体_GBK" w:hAnsi="Arial Narrow" w:eastAsia="方正黑体_GBK" w:cs="Arial"/>
          <w:b/>
          <w:sz w:val="32"/>
          <w:szCs w:val="32"/>
        </w:rPr>
      </w:pPr>
      <w:r>
        <w:rPr>
          <w:rFonts w:hint="eastAsia" w:ascii="方正黑体_GBK" w:hAnsi="黑体" w:eastAsia="方正黑体_GBK" w:cs="黑体"/>
          <w:b/>
          <w:sz w:val="32"/>
          <w:szCs w:val="32"/>
        </w:rPr>
        <w:t>三、赛项设计原则</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（一）公开、公平、公正。</w:t>
      </w:r>
    </w:p>
    <w:p>
      <w:pPr>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（二）赛项关联专业人才需求量大或职业院校开设专业点多，服务国家和我省重点战略。</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（三）竞赛内容对应相关职业岗位或岗位群、体现专业核心能力与核心知识、涵盖丰富的专业知识与专业技能点。</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（四）竞赛平台成熟。</w:t>
      </w:r>
      <w:r>
        <w:rPr>
          <w:rFonts w:hint="eastAsia" w:ascii="方正仿宋_GBK" w:hAnsi="Arial Narrow" w:eastAsia="方正仿宋_GBK"/>
          <w:sz w:val="32"/>
          <w:szCs w:val="32"/>
        </w:rPr>
        <w:t>根据行业特点，赛项选择相对先进、通用性强、社会保有量高的设备与软件。</w:t>
      </w:r>
    </w:p>
    <w:p>
      <w:pPr>
        <w:snapToGrid w:val="0"/>
        <w:spacing w:line="560" w:lineRule="exact"/>
        <w:ind w:firstLine="643" w:firstLineChars="200"/>
        <w:rPr>
          <w:rFonts w:hint="eastAsia" w:ascii="方正黑体_GBK" w:hAnsi="Arial Narrow" w:eastAsia="方正黑体_GBK" w:cs="Arial"/>
          <w:b/>
          <w:sz w:val="32"/>
          <w:szCs w:val="32"/>
        </w:rPr>
      </w:pPr>
      <w:r>
        <w:rPr>
          <w:rFonts w:hint="eastAsia" w:ascii="方正黑体_GBK" w:hAnsi="黑体" w:eastAsia="方正黑体_GBK" w:cs="黑体"/>
          <w:b/>
          <w:sz w:val="32"/>
          <w:szCs w:val="32"/>
        </w:rPr>
        <w:t>四、赛项方案的特色与创新点</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应在竞赛内容选择、竞赛过程安排、竞赛结果评判、竞赛资源转化等方面形成赛项的特色与创新点。（500字以内）</w:t>
      </w:r>
    </w:p>
    <w:p>
      <w:pPr>
        <w:snapToGrid w:val="0"/>
        <w:spacing w:line="560" w:lineRule="exact"/>
        <w:ind w:firstLine="643" w:firstLineChars="200"/>
        <w:rPr>
          <w:rFonts w:hint="eastAsia" w:ascii="方正黑体_GBK" w:hAnsi="黑体" w:eastAsia="方正黑体_GBK" w:cs="黑体"/>
          <w:b/>
          <w:sz w:val="32"/>
          <w:szCs w:val="32"/>
        </w:rPr>
      </w:pPr>
      <w:r>
        <w:rPr>
          <w:rFonts w:hint="eastAsia" w:ascii="方正黑体_GBK" w:hAnsi="黑体" w:eastAsia="方正黑体_GBK" w:cs="黑体"/>
          <w:b/>
          <w:sz w:val="32"/>
          <w:szCs w:val="32"/>
        </w:rPr>
        <w:t>五、竞赛内容简介</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概述竞赛内容，并侧重于核心技能的描述。（500字以内）</w:t>
      </w:r>
    </w:p>
    <w:p>
      <w:pPr>
        <w:snapToGrid w:val="0"/>
        <w:spacing w:line="560" w:lineRule="exact"/>
        <w:ind w:firstLine="643" w:firstLineChars="200"/>
        <w:rPr>
          <w:rFonts w:hint="eastAsia" w:ascii="方正黑体_GBK" w:hAnsi="黑体" w:eastAsia="方正黑体_GBK" w:cs="黑体"/>
          <w:b/>
          <w:sz w:val="32"/>
          <w:szCs w:val="32"/>
        </w:rPr>
      </w:pPr>
      <w:r>
        <w:rPr>
          <w:rFonts w:hint="eastAsia" w:ascii="方正黑体_GBK" w:hAnsi="黑体" w:eastAsia="方正黑体_GBK" w:cs="黑体"/>
          <w:b/>
          <w:sz w:val="32"/>
          <w:szCs w:val="32"/>
        </w:rPr>
        <w:t>六、竞赛方式（含组队要求）</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竞赛方式应明确是团体赛还是个人赛。组队方式应参考</w:t>
      </w:r>
      <w:r>
        <w:rPr>
          <w:rFonts w:hint="eastAsia" w:ascii="方正仿宋_GBK" w:hAnsi="Arial Narrow" w:eastAsia="方正仿宋_GBK" w:cs="Arial"/>
          <w:sz w:val="32"/>
          <w:szCs w:val="32"/>
          <w:lang w:eastAsia="zh-CN"/>
        </w:rPr>
        <w:t>有关“国赛”“省赛”同类赛项</w:t>
      </w:r>
      <w:r>
        <w:rPr>
          <w:rFonts w:hint="eastAsia" w:ascii="方正仿宋_GBK" w:hAnsi="Arial Narrow" w:eastAsia="方正仿宋_GBK" w:cs="Arial"/>
          <w:sz w:val="32"/>
          <w:szCs w:val="32"/>
        </w:rPr>
        <w:t>报名要求。</w:t>
      </w:r>
      <w:r>
        <w:rPr>
          <w:rFonts w:hint="eastAsia" w:ascii="方正仿宋_GBK" w:hAnsi="Arial Narrow" w:eastAsia="方正仿宋_GBK" w:cs="Arial"/>
          <w:b/>
          <w:bCs/>
          <w:sz w:val="32"/>
          <w:szCs w:val="32"/>
        </w:rPr>
        <w:t>不得出现参赛名额分配的事项。</w:t>
      </w:r>
    </w:p>
    <w:p>
      <w:pPr>
        <w:snapToGrid w:val="0"/>
        <w:spacing w:line="560" w:lineRule="exact"/>
        <w:ind w:firstLine="643" w:firstLineChars="200"/>
        <w:rPr>
          <w:rFonts w:hint="eastAsia" w:ascii="方正黑体_GBK" w:hAnsi="黑体" w:eastAsia="方正黑体_GBK" w:cs="黑体"/>
          <w:b/>
          <w:sz w:val="32"/>
          <w:szCs w:val="32"/>
        </w:rPr>
      </w:pPr>
      <w:r>
        <w:rPr>
          <w:rFonts w:hint="eastAsia" w:ascii="方正黑体_GBK" w:hAnsi="黑体" w:eastAsia="方正黑体_GBK" w:cs="黑体"/>
          <w:b/>
          <w:sz w:val="32"/>
          <w:szCs w:val="32"/>
        </w:rPr>
        <w:t>七、竞赛时间安排与流程</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应用表格或流程图，简洁明确地说明竞赛日程与流程安排。</w:t>
      </w:r>
    </w:p>
    <w:p>
      <w:pPr>
        <w:snapToGrid w:val="0"/>
        <w:spacing w:line="560" w:lineRule="exact"/>
        <w:ind w:firstLine="643" w:firstLineChars="200"/>
        <w:rPr>
          <w:rFonts w:hint="eastAsia" w:ascii="方正黑体_GBK" w:hAnsi="Arial Narrow" w:eastAsia="方正黑体_GBK" w:cs="Arial"/>
          <w:b/>
          <w:sz w:val="32"/>
          <w:szCs w:val="32"/>
        </w:rPr>
      </w:pPr>
      <w:r>
        <w:rPr>
          <w:rFonts w:hint="eastAsia" w:ascii="方正黑体_GBK" w:hAnsi="黑体" w:eastAsia="方正黑体_GBK" w:cs="黑体"/>
          <w:b/>
          <w:sz w:val="32"/>
          <w:szCs w:val="32"/>
        </w:rPr>
        <w:t>八、评分标准制定原则、评分方法、评分细则</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根据申报赛项自身的特点，选定具有较强操作性的评分方法，编制评分细则。</w:t>
      </w:r>
    </w:p>
    <w:p>
      <w:pPr>
        <w:snapToGrid w:val="0"/>
        <w:spacing w:line="560" w:lineRule="exact"/>
        <w:ind w:firstLine="643" w:firstLineChars="200"/>
        <w:rPr>
          <w:rFonts w:hint="eastAsia" w:ascii="方正黑体_GBK" w:hAnsi="Arial Narrow" w:eastAsia="方正黑体_GBK" w:cs="Arial"/>
          <w:b/>
          <w:sz w:val="32"/>
          <w:szCs w:val="32"/>
        </w:rPr>
      </w:pPr>
      <w:r>
        <w:rPr>
          <w:rFonts w:hint="eastAsia" w:ascii="方正黑体_GBK" w:hAnsi="黑体" w:eastAsia="方正黑体_GBK" w:cs="黑体"/>
          <w:b/>
          <w:sz w:val="32"/>
          <w:szCs w:val="32"/>
        </w:rPr>
        <w:t>九、奖项设置</w:t>
      </w:r>
    </w:p>
    <w:p>
      <w:pPr>
        <w:snapToGrid w:val="0"/>
        <w:spacing w:line="560" w:lineRule="exact"/>
        <w:ind w:firstLine="640" w:firstLineChars="200"/>
        <w:rPr>
          <w:rFonts w:hint="eastAsia" w:ascii="方正仿宋_GBK" w:hAnsi="Arial Narrow" w:eastAsia="方正仿宋_GBK" w:cs="Arial"/>
          <w:sz w:val="32"/>
          <w:szCs w:val="32"/>
          <w:lang w:eastAsia="zh-CN"/>
        </w:rPr>
      </w:pPr>
      <w:r>
        <w:rPr>
          <w:rFonts w:hint="eastAsia" w:ascii="方正仿宋_GBK" w:hAnsi="Arial Narrow" w:eastAsia="方正仿宋_GBK" w:cs="Arial"/>
          <w:sz w:val="32"/>
          <w:szCs w:val="32"/>
        </w:rPr>
        <w:t>校级技能竞赛各赛项设一、二、三等奖，获奖比例不超过实际参赛队伍数量的10%、20%、30%</w:t>
      </w:r>
      <w:r>
        <w:rPr>
          <w:rFonts w:hint="eastAsia" w:ascii="方正仿宋_GBK" w:hAnsi="Arial Narrow" w:eastAsia="方正仿宋_GBK" w:cs="Arial"/>
          <w:sz w:val="32"/>
          <w:szCs w:val="32"/>
          <w:lang w:eastAsia="zh-CN"/>
        </w:rPr>
        <w:t>；不得擅自提高获奖比例。</w:t>
      </w:r>
    </w:p>
    <w:p>
      <w:pPr>
        <w:snapToGrid w:val="0"/>
        <w:spacing w:line="560" w:lineRule="exact"/>
        <w:ind w:firstLine="643" w:firstLineChars="200"/>
        <w:rPr>
          <w:rFonts w:hint="eastAsia" w:ascii="方正黑体_GBK" w:hAnsi="Arial Narrow" w:eastAsia="方正黑体_GBK" w:cs="Arial"/>
          <w:b/>
          <w:sz w:val="32"/>
          <w:szCs w:val="32"/>
        </w:rPr>
      </w:pPr>
      <w:r>
        <w:rPr>
          <w:rFonts w:hint="eastAsia" w:ascii="方正黑体_GBK" w:hAnsi="黑体" w:eastAsia="方正黑体_GBK" w:cs="黑体"/>
          <w:b/>
          <w:sz w:val="32"/>
          <w:szCs w:val="32"/>
        </w:rPr>
        <w:t>十、技术规范</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列出竞赛内容涉及技术规范的全部信息，包括相关的专业教育教学要求，行业、职业技术标准等。</w:t>
      </w:r>
    </w:p>
    <w:p>
      <w:pPr>
        <w:snapToGrid w:val="0"/>
        <w:spacing w:line="560" w:lineRule="exact"/>
        <w:ind w:firstLine="643" w:firstLineChars="200"/>
        <w:rPr>
          <w:rFonts w:hint="eastAsia" w:ascii="方正黑体_GBK" w:hAnsi="Arial Narrow" w:eastAsia="方正黑体_GBK" w:cs="Arial"/>
          <w:b/>
          <w:sz w:val="32"/>
          <w:szCs w:val="32"/>
        </w:rPr>
      </w:pPr>
      <w:r>
        <w:rPr>
          <w:rFonts w:hint="eastAsia" w:ascii="方正黑体_GBK" w:hAnsi="黑体" w:eastAsia="方正黑体_GBK" w:cs="黑体"/>
          <w:b/>
          <w:sz w:val="32"/>
          <w:szCs w:val="32"/>
        </w:rPr>
        <w:t>十一、建议使用的比赛器材、技术平台和场地要求</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提供赛项所需的技术平台，包括参考硬件和软件信息、参考机器设备信息、参考工具器具信息等。</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要对竞赛赛场环境、赛位设置、单位赛位大小、安全防范措施等具体明确描述。</w:t>
      </w:r>
    </w:p>
    <w:p>
      <w:pPr>
        <w:snapToGrid w:val="0"/>
        <w:spacing w:line="560" w:lineRule="exact"/>
        <w:ind w:firstLine="643" w:firstLineChars="200"/>
        <w:rPr>
          <w:rFonts w:hint="eastAsia" w:ascii="方正黑体_GBK" w:hAnsi="Arial Narrow" w:eastAsia="方正黑体_GBK" w:cs="Arial"/>
          <w:b/>
          <w:sz w:val="32"/>
          <w:szCs w:val="32"/>
        </w:rPr>
      </w:pPr>
      <w:r>
        <w:rPr>
          <w:rFonts w:hint="eastAsia" w:ascii="方正黑体_GBK" w:hAnsi="黑体" w:eastAsia="方正黑体_GBK" w:cs="黑体"/>
          <w:b/>
          <w:sz w:val="32"/>
          <w:szCs w:val="32"/>
        </w:rPr>
        <w:t>十二、安全保障</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参考</w:t>
      </w:r>
      <w:r>
        <w:rPr>
          <w:rFonts w:hint="eastAsia" w:ascii="方正仿宋_GBK" w:hAnsi="Arial Narrow" w:eastAsia="方正仿宋_GBK" w:cs="Arial"/>
          <w:sz w:val="32"/>
          <w:szCs w:val="32"/>
          <w:lang w:eastAsia="zh-CN"/>
        </w:rPr>
        <w:t>“国赛”“省赛”</w:t>
      </w:r>
      <w:r>
        <w:rPr>
          <w:rFonts w:hint="eastAsia" w:ascii="方正仿宋_GBK" w:hAnsi="Arial Narrow" w:eastAsia="方正仿宋_GBK" w:cs="Arial"/>
          <w:sz w:val="32"/>
          <w:szCs w:val="32"/>
        </w:rPr>
        <w:t>有关要求，依据申报赛项自身特点，明确所需的安全保障措施。</w:t>
      </w:r>
    </w:p>
    <w:p>
      <w:pPr>
        <w:snapToGrid w:val="0"/>
        <w:spacing w:line="560" w:lineRule="exact"/>
        <w:ind w:firstLine="643" w:firstLineChars="200"/>
        <w:rPr>
          <w:rFonts w:hint="eastAsia" w:ascii="方正黑体_GBK" w:hAnsi="黑体" w:eastAsia="方正黑体_GBK" w:cs="黑体"/>
          <w:b/>
          <w:sz w:val="32"/>
          <w:szCs w:val="32"/>
        </w:rPr>
      </w:pPr>
      <w:r>
        <w:rPr>
          <w:rFonts w:hint="eastAsia" w:ascii="方正黑体_GBK" w:hAnsi="黑体" w:eastAsia="方正黑体_GBK" w:cs="黑体"/>
          <w:b/>
          <w:sz w:val="32"/>
          <w:szCs w:val="32"/>
        </w:rPr>
        <w:t>十三、经费概算</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制定赛项经费概算</w:t>
      </w:r>
      <w:r>
        <w:rPr>
          <w:rFonts w:hint="eastAsia" w:ascii="方正仿宋_GBK" w:hAnsi="Arial Narrow" w:eastAsia="方正仿宋_GBK" w:cs="Arial"/>
          <w:sz w:val="32"/>
          <w:szCs w:val="32"/>
          <w:lang w:eastAsia="zh-CN"/>
        </w:rPr>
        <w:t>，并确定经费来源及支出项目</w:t>
      </w:r>
      <w:r>
        <w:rPr>
          <w:rFonts w:hint="eastAsia" w:ascii="方正仿宋_GBK" w:hAnsi="Arial Narrow" w:eastAsia="方正仿宋_GBK" w:cs="Arial"/>
          <w:sz w:val="32"/>
          <w:szCs w:val="32"/>
        </w:rPr>
        <w:t>。</w:t>
      </w:r>
    </w:p>
    <w:p>
      <w:pPr>
        <w:snapToGrid w:val="0"/>
        <w:spacing w:line="560" w:lineRule="exact"/>
        <w:ind w:firstLine="643" w:firstLineChars="200"/>
        <w:rPr>
          <w:rFonts w:hint="eastAsia" w:ascii="方正黑体_GBK" w:hAnsi="黑体" w:eastAsia="方正黑体_GBK" w:cs="黑体"/>
          <w:b/>
          <w:sz w:val="32"/>
          <w:szCs w:val="32"/>
        </w:rPr>
      </w:pPr>
      <w:r>
        <w:rPr>
          <w:rFonts w:hint="eastAsia" w:ascii="方正黑体_GBK" w:hAnsi="黑体" w:eastAsia="方正黑体_GBK" w:cs="黑体"/>
          <w:b/>
          <w:sz w:val="32"/>
          <w:szCs w:val="32"/>
        </w:rPr>
        <w:t>十四、比赛组织与管理</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明确主要</w:t>
      </w:r>
      <w:r>
        <w:rPr>
          <w:rFonts w:hint="eastAsia" w:ascii="方正仿宋_GBK" w:hAnsi="Arial Narrow" w:eastAsia="方正仿宋_GBK" w:cs="Arial"/>
          <w:sz w:val="32"/>
          <w:szCs w:val="32"/>
          <w:lang w:eastAsia="zh-CN"/>
        </w:rPr>
        <w:t>承办</w:t>
      </w:r>
      <w:r>
        <w:rPr>
          <w:rFonts w:hint="eastAsia" w:ascii="方正仿宋_GBK" w:hAnsi="Arial Narrow" w:eastAsia="方正仿宋_GBK" w:cs="Arial"/>
          <w:sz w:val="32"/>
          <w:szCs w:val="32"/>
        </w:rPr>
        <w:t>单位、协办单位的任务分工和各单位工作职责，制定操作性强的赛项竞赛组织与管理方案。</w:t>
      </w:r>
    </w:p>
    <w:p>
      <w:pPr>
        <w:snapToGrid w:val="0"/>
        <w:spacing w:line="560" w:lineRule="exact"/>
        <w:ind w:firstLine="643" w:firstLineChars="200"/>
        <w:rPr>
          <w:rFonts w:hint="eastAsia" w:ascii="方正黑体_GBK" w:hAnsi="黑体" w:eastAsia="方正黑体_GBK" w:cs="黑体"/>
          <w:b/>
          <w:sz w:val="32"/>
          <w:szCs w:val="32"/>
        </w:rPr>
      </w:pPr>
      <w:r>
        <w:rPr>
          <w:rFonts w:hint="eastAsia" w:ascii="方正黑体_GBK" w:hAnsi="黑体" w:eastAsia="方正黑体_GBK" w:cs="黑体"/>
          <w:b/>
          <w:sz w:val="32"/>
          <w:szCs w:val="32"/>
        </w:rPr>
        <w:t>十五、筹备工作进度时间表</w:t>
      </w:r>
    </w:p>
    <w:p>
      <w:pPr>
        <w:snapToGrid w:val="0"/>
        <w:spacing w:line="560" w:lineRule="exact"/>
        <w:ind w:firstLine="640" w:firstLineChars="200"/>
        <w:rPr>
          <w:rFonts w:hint="eastAsia" w:ascii="方正仿宋_GBK" w:hAnsi="Arial Narrow" w:eastAsia="方正仿宋_GBK" w:cs="Arial"/>
          <w:sz w:val="32"/>
          <w:szCs w:val="32"/>
        </w:rPr>
      </w:pPr>
      <w:r>
        <w:rPr>
          <w:rFonts w:hint="eastAsia" w:ascii="方正仿宋_GBK" w:hAnsi="Arial Narrow" w:eastAsia="方正仿宋_GBK" w:cs="Arial"/>
          <w:sz w:val="32"/>
          <w:szCs w:val="32"/>
        </w:rPr>
        <w:t>依据赛项筹备工作，制定筹备工作时间进度表。</w:t>
      </w:r>
    </w:p>
    <w:p>
      <w:pPr>
        <w:snapToGrid w:val="0"/>
        <w:spacing w:line="560" w:lineRule="exact"/>
        <w:ind w:firstLine="643" w:firstLineChars="200"/>
        <w:rPr>
          <w:rFonts w:hint="eastAsia" w:ascii="方正黑体_GBK" w:hAnsi="黑体" w:eastAsia="方正黑体_GBK" w:cs="黑体"/>
          <w:b/>
          <w:sz w:val="32"/>
          <w:szCs w:val="32"/>
        </w:rPr>
      </w:pPr>
      <w:r>
        <w:rPr>
          <w:rFonts w:hint="eastAsia" w:ascii="方正黑体_GBK" w:hAnsi="黑体" w:eastAsia="方正黑体_GBK" w:cs="黑体"/>
          <w:b/>
          <w:sz w:val="32"/>
          <w:szCs w:val="32"/>
        </w:rPr>
        <w:t>十六、裁判人员建议</w:t>
      </w:r>
    </w:p>
    <w:p>
      <w:pPr>
        <w:snapToGrid w:val="0"/>
        <w:spacing w:line="560" w:lineRule="exact"/>
        <w:ind w:firstLine="640" w:firstLineChars="200"/>
        <w:rPr>
          <w:rFonts w:ascii="Arial Narrow" w:hAnsi="Arial Narrow" w:eastAsia="仿宋_GB2312" w:cs="Arial"/>
          <w:sz w:val="30"/>
          <w:szCs w:val="30"/>
        </w:rPr>
      </w:pPr>
      <w:r>
        <w:rPr>
          <w:rFonts w:hint="eastAsia" w:ascii="方正仿宋_GBK" w:hAnsi="Arial Narrow" w:eastAsia="方正仿宋_GBK" w:cs="Arial"/>
          <w:sz w:val="32"/>
          <w:szCs w:val="32"/>
        </w:rPr>
        <w:t>参考</w:t>
      </w:r>
      <w:r>
        <w:rPr>
          <w:rFonts w:hint="eastAsia" w:ascii="方正仿宋_GBK" w:hAnsi="Arial Narrow" w:eastAsia="方正仿宋_GBK" w:cs="Arial"/>
          <w:sz w:val="32"/>
          <w:szCs w:val="32"/>
          <w:lang w:eastAsia="zh-CN"/>
        </w:rPr>
        <w:t>“国赛”“省赛”</w:t>
      </w:r>
      <w:r>
        <w:rPr>
          <w:rFonts w:hint="eastAsia" w:ascii="方正仿宋_GBK" w:hAnsi="Arial Narrow" w:eastAsia="方正仿宋_GBK" w:cs="Arial"/>
          <w:sz w:val="32"/>
          <w:szCs w:val="32"/>
        </w:rPr>
        <w:t>的有关要求，详细列出赛项所需现场裁判和评分裁判的具体要求。</w:t>
      </w:r>
    </w:p>
    <w:p>
      <w:pPr>
        <w:snapToGrid w:val="0"/>
        <w:spacing w:line="560" w:lineRule="exact"/>
        <w:ind w:firstLine="600" w:firstLineChars="200"/>
        <w:rPr>
          <w:rFonts w:hint="eastAsia" w:ascii="Arial Narrow" w:hAnsi="Arial Narrow" w:eastAsia="仿宋_GB2312" w:cs="Arial"/>
          <w:sz w:val="30"/>
          <w:szCs w:val="30"/>
        </w:rPr>
      </w:pPr>
    </w:p>
    <w:tbl>
      <w:tblPr>
        <w:tblStyle w:val="7"/>
        <w:tblpPr w:leftFromText="180" w:rightFromText="180" w:vertAnchor="text" w:horzAnchor="margin" w:tblpXSpec="center" w:tblpY="8"/>
        <w:tblW w:w="850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725"/>
        <w:gridCol w:w="1665"/>
        <w:gridCol w:w="1485"/>
        <w:gridCol w:w="2048"/>
        <w:gridCol w:w="7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tcBorders>
              <w:top w:val="single" w:color="auto" w:sz="8" w:space="0"/>
              <w:left w:val="single" w:color="auto" w:sz="8" w:space="0"/>
              <w:bottom w:val="single" w:color="auto" w:sz="4" w:space="0"/>
              <w:right w:val="single" w:color="auto" w:sz="4" w:space="0"/>
            </w:tcBorders>
            <w:noWrap w:val="0"/>
            <w:vAlign w:val="center"/>
          </w:tcPr>
          <w:p>
            <w:pPr>
              <w:adjustRightInd w:val="0"/>
              <w:snapToGrid w:val="0"/>
              <w:jc w:val="center"/>
              <w:rPr>
                <w:rFonts w:ascii="仿宋_GB2312" w:hAnsi="仿宋" w:eastAsia="仿宋_GB2312" w:cs="Arial"/>
                <w:b/>
                <w:color w:val="000000"/>
                <w:sz w:val="24"/>
              </w:rPr>
            </w:pPr>
            <w:r>
              <w:rPr>
                <w:rFonts w:hint="eastAsia" w:ascii="仿宋_GB2312" w:hAnsi="仿宋" w:eastAsia="仿宋_GB2312" w:cs="Arial"/>
                <w:b/>
                <w:color w:val="000000"/>
                <w:sz w:val="24"/>
              </w:rPr>
              <w:t>序号</w:t>
            </w:r>
          </w:p>
        </w:tc>
        <w:tc>
          <w:tcPr>
            <w:tcW w:w="1725"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cs="Arial"/>
                <w:b/>
                <w:color w:val="000000"/>
                <w:sz w:val="24"/>
              </w:rPr>
            </w:pPr>
            <w:r>
              <w:rPr>
                <w:rFonts w:hint="eastAsia" w:ascii="仿宋_GB2312" w:hAnsi="仿宋" w:eastAsia="仿宋_GB2312" w:cs="Arial"/>
                <w:b/>
                <w:color w:val="000000"/>
                <w:sz w:val="24"/>
              </w:rPr>
              <w:t>专业技术方向</w:t>
            </w:r>
          </w:p>
        </w:tc>
        <w:tc>
          <w:tcPr>
            <w:tcW w:w="1665"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cs="Arial"/>
                <w:b/>
                <w:color w:val="000000"/>
                <w:sz w:val="24"/>
              </w:rPr>
            </w:pPr>
            <w:r>
              <w:rPr>
                <w:rFonts w:hint="eastAsia" w:ascii="仿宋_GB2312" w:hAnsi="仿宋" w:eastAsia="仿宋_GB2312" w:cs="Arial"/>
                <w:b/>
                <w:color w:val="000000"/>
                <w:sz w:val="24"/>
              </w:rPr>
              <w:t>知识能力要求</w:t>
            </w:r>
          </w:p>
        </w:tc>
        <w:tc>
          <w:tcPr>
            <w:tcW w:w="1485"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cs="Arial"/>
                <w:b/>
                <w:color w:val="000000"/>
                <w:sz w:val="24"/>
              </w:rPr>
            </w:pPr>
            <w:r>
              <w:rPr>
                <w:rFonts w:hint="eastAsia" w:ascii="仿宋_GB2312" w:hAnsi="仿宋" w:eastAsia="仿宋_GB2312" w:cs="Arial"/>
                <w:b/>
                <w:color w:val="000000"/>
                <w:sz w:val="24"/>
              </w:rPr>
              <w:t>执裁、教学、工作经历</w:t>
            </w:r>
          </w:p>
        </w:tc>
        <w:tc>
          <w:tcPr>
            <w:tcW w:w="2048"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cs="Arial"/>
                <w:b/>
                <w:color w:val="000000"/>
                <w:sz w:val="24"/>
              </w:rPr>
            </w:pPr>
            <w:r>
              <w:rPr>
                <w:rFonts w:hint="eastAsia" w:ascii="仿宋_GB2312" w:hAnsi="仿宋" w:eastAsia="仿宋_GB2312" w:cs="Arial"/>
                <w:b/>
                <w:color w:val="000000"/>
                <w:sz w:val="24"/>
              </w:rPr>
              <w:t>专业技术职称</w:t>
            </w:r>
          </w:p>
          <w:p>
            <w:pPr>
              <w:adjustRightInd w:val="0"/>
              <w:snapToGrid w:val="0"/>
              <w:jc w:val="center"/>
              <w:rPr>
                <w:rFonts w:ascii="仿宋_GB2312" w:hAnsi="仿宋" w:eastAsia="仿宋_GB2312" w:cs="Arial"/>
                <w:b/>
                <w:color w:val="000000"/>
                <w:sz w:val="24"/>
              </w:rPr>
            </w:pPr>
            <w:r>
              <w:rPr>
                <w:rFonts w:hint="eastAsia" w:ascii="仿宋_GB2312" w:hAnsi="仿宋" w:eastAsia="仿宋_GB2312" w:cs="Arial"/>
                <w:b/>
                <w:color w:val="000000"/>
                <w:sz w:val="24"/>
              </w:rPr>
              <w:t>（职业资格等级）</w:t>
            </w:r>
          </w:p>
        </w:tc>
        <w:tc>
          <w:tcPr>
            <w:tcW w:w="779" w:type="dxa"/>
            <w:tcBorders>
              <w:top w:val="single" w:color="auto" w:sz="8" w:space="0"/>
              <w:left w:val="single" w:color="auto" w:sz="4" w:space="0"/>
              <w:bottom w:val="single" w:color="auto" w:sz="4" w:space="0"/>
              <w:right w:val="single" w:color="auto" w:sz="8" w:space="0"/>
            </w:tcBorders>
            <w:noWrap w:val="0"/>
            <w:vAlign w:val="center"/>
          </w:tcPr>
          <w:p>
            <w:pPr>
              <w:adjustRightInd w:val="0"/>
              <w:snapToGrid w:val="0"/>
              <w:jc w:val="center"/>
              <w:rPr>
                <w:rFonts w:ascii="仿宋_GB2312" w:hAnsi="仿宋" w:eastAsia="仿宋_GB2312" w:cs="Arial"/>
                <w:b/>
                <w:color w:val="000000"/>
                <w:sz w:val="24"/>
              </w:rPr>
            </w:pPr>
            <w:r>
              <w:rPr>
                <w:rFonts w:hint="eastAsia" w:ascii="仿宋_GB2312" w:hAnsi="仿宋" w:eastAsia="仿宋_GB2312" w:cs="Arial"/>
                <w:b/>
                <w:color w:val="000000"/>
                <w:sz w:val="24"/>
              </w:rPr>
              <w:t>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Arial Narrow" w:hAnsi="Arial Narrow" w:eastAsia="仿宋_GB2312"/>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Arial Narrow" w:hAnsi="Arial Narrow"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ascii="Arial Narrow" w:hAnsi="Arial Narrow" w:eastAsia="仿宋_GB2312"/>
                <w:sz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Arial Narrow" w:hAnsi="Arial Narrow" w:eastAsia="仿宋_GB2312"/>
                <w:sz w:val="24"/>
              </w:rPr>
            </w:pPr>
          </w:p>
        </w:tc>
        <w:tc>
          <w:tcPr>
            <w:tcW w:w="20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ascii="Arial Narrow" w:hAnsi="Arial Narrow" w:eastAsia="仿宋_GB2312"/>
                <w:sz w:val="24"/>
              </w:rPr>
            </w:pPr>
          </w:p>
        </w:tc>
        <w:tc>
          <w:tcPr>
            <w:tcW w:w="779"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jc w:val="center"/>
              <w:rPr>
                <w:rFonts w:ascii="Arial Narrow" w:hAnsi="Arial Narrow"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Arial Narrow" w:hAnsi="Arial Narrow" w:eastAsia="仿宋_GB2312"/>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Arial Narrow" w:hAnsi="Arial Narrow"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ascii="Arial Narrow" w:hAnsi="Arial Narrow" w:eastAsia="仿宋_GB2312"/>
                <w:sz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Arial Narrow" w:hAnsi="Arial Narrow" w:eastAsia="仿宋_GB2312"/>
                <w:sz w:val="24"/>
              </w:rPr>
            </w:pPr>
          </w:p>
        </w:tc>
        <w:tc>
          <w:tcPr>
            <w:tcW w:w="20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ascii="Arial Narrow" w:hAnsi="Arial Narrow" w:eastAsia="仿宋_GB2312"/>
                <w:sz w:val="24"/>
              </w:rPr>
            </w:pPr>
          </w:p>
        </w:tc>
        <w:tc>
          <w:tcPr>
            <w:tcW w:w="779"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jc w:val="center"/>
              <w:rPr>
                <w:rFonts w:ascii="Arial Narrow" w:hAnsi="Arial Narrow"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Arial Narrow" w:hAnsi="Arial Narrow" w:eastAsia="仿宋_GB2312"/>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Arial Narrow" w:hAnsi="Arial Narrow"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ascii="Arial Narrow" w:hAnsi="Arial Narrow" w:eastAsia="仿宋_GB2312"/>
                <w:sz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Arial Narrow" w:hAnsi="Arial Narrow" w:eastAsia="仿宋_GB2312"/>
                <w:sz w:val="24"/>
              </w:rPr>
            </w:pPr>
          </w:p>
        </w:tc>
        <w:tc>
          <w:tcPr>
            <w:tcW w:w="20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ascii="Arial Narrow" w:hAnsi="Arial Narrow" w:eastAsia="仿宋_GB2312"/>
                <w:sz w:val="24"/>
              </w:rPr>
            </w:pPr>
          </w:p>
        </w:tc>
        <w:tc>
          <w:tcPr>
            <w:tcW w:w="779"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jc w:val="center"/>
              <w:rPr>
                <w:rFonts w:ascii="Arial Narrow" w:hAnsi="Arial Narrow"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tcBorders>
              <w:top w:val="single" w:color="auto" w:sz="4" w:space="0"/>
              <w:left w:val="single" w:color="auto" w:sz="8" w:space="0"/>
              <w:bottom w:val="single" w:color="auto" w:sz="8" w:space="0"/>
              <w:right w:val="single" w:color="auto" w:sz="4" w:space="0"/>
            </w:tcBorders>
            <w:noWrap w:val="0"/>
            <w:vAlign w:val="center"/>
          </w:tcPr>
          <w:p>
            <w:pPr>
              <w:adjustRightInd w:val="0"/>
              <w:snapToGrid w:val="0"/>
              <w:jc w:val="center"/>
              <w:rPr>
                <w:rFonts w:ascii="Arial Narrow" w:hAnsi="Arial Narrow" w:eastAsia="仿宋_GB2312"/>
                <w:sz w:val="24"/>
              </w:rPr>
            </w:pPr>
            <w:r>
              <w:rPr>
                <w:rFonts w:hint="eastAsia" w:ascii="仿宋_GB2312" w:hAnsi="仿宋" w:eastAsia="仿宋_GB2312" w:cs="Arial"/>
                <w:b/>
                <w:color w:val="000000"/>
                <w:sz w:val="24"/>
              </w:rPr>
              <w:t>裁判总人数</w:t>
            </w:r>
          </w:p>
        </w:tc>
        <w:tc>
          <w:tcPr>
            <w:tcW w:w="7702" w:type="dxa"/>
            <w:gridSpan w:val="5"/>
            <w:tcBorders>
              <w:top w:val="single" w:color="auto" w:sz="4" w:space="0"/>
              <w:left w:val="single" w:color="auto" w:sz="4" w:space="0"/>
              <w:bottom w:val="single" w:color="auto" w:sz="8" w:space="0"/>
              <w:right w:val="single" w:color="auto" w:sz="8" w:space="0"/>
            </w:tcBorders>
            <w:noWrap w:val="0"/>
            <w:vAlign w:val="top"/>
          </w:tcPr>
          <w:p>
            <w:pPr>
              <w:adjustRightInd w:val="0"/>
              <w:snapToGrid w:val="0"/>
              <w:jc w:val="center"/>
              <w:rPr>
                <w:rFonts w:ascii="Arial Narrow" w:hAnsi="Arial Narrow" w:eastAsia="仿宋_GB2312"/>
                <w:sz w:val="24"/>
              </w:rPr>
            </w:pPr>
          </w:p>
        </w:tc>
      </w:tr>
    </w:tbl>
    <w:p>
      <w:pPr>
        <w:snapToGrid w:val="0"/>
        <w:spacing w:line="560" w:lineRule="exact"/>
        <w:ind w:firstLine="602" w:firstLineChars="200"/>
        <w:rPr>
          <w:rFonts w:hint="eastAsia" w:ascii="方正黑体_GBK" w:hAnsi="黑体" w:eastAsia="方正黑体_GBK" w:cs="黑体"/>
          <w:b/>
          <w:sz w:val="30"/>
          <w:szCs w:val="30"/>
        </w:rPr>
      </w:pPr>
    </w:p>
    <w:p>
      <w:pPr>
        <w:snapToGrid w:val="0"/>
        <w:spacing w:line="560" w:lineRule="exact"/>
        <w:ind w:firstLine="602" w:firstLineChars="200"/>
        <w:rPr>
          <w:rFonts w:hint="eastAsia" w:ascii="方正黑体_GBK" w:hAnsi="Arial Narrow" w:eastAsia="方正黑体_GBK" w:cs="Arial"/>
          <w:b/>
          <w:sz w:val="30"/>
          <w:szCs w:val="30"/>
        </w:rPr>
      </w:pPr>
      <w:r>
        <w:rPr>
          <w:rFonts w:hint="eastAsia" w:ascii="方正黑体_GBK" w:hAnsi="黑体" w:eastAsia="方正黑体_GBK" w:cs="黑体"/>
          <w:b/>
          <w:sz w:val="30"/>
          <w:szCs w:val="30"/>
        </w:rPr>
        <w:t>十七、其他</w:t>
      </w:r>
    </w:p>
    <w:p>
      <w:pPr>
        <w:snapToGrid w:val="0"/>
        <w:spacing w:line="560" w:lineRule="exact"/>
        <w:ind w:firstLine="600" w:firstLineChars="200"/>
        <w:rPr>
          <w:rFonts w:hint="eastAsia" w:ascii="方正仿宋_GBK" w:hAnsi="Arial Narrow" w:eastAsia="方正仿宋_GBK" w:cs="Arial"/>
          <w:sz w:val="30"/>
          <w:szCs w:val="30"/>
        </w:rPr>
      </w:pPr>
      <w:r>
        <w:rPr>
          <w:rFonts w:hint="eastAsia" w:ascii="方正仿宋_GBK" w:hAnsi="Arial Narrow" w:eastAsia="方正仿宋_GBK" w:cs="Arial"/>
          <w:sz w:val="30"/>
          <w:szCs w:val="30"/>
        </w:rPr>
        <w:t>申报赛项未尽内容的描述或说明，也可附页补充。</w:t>
      </w:r>
    </w:p>
    <w:p>
      <w:pPr>
        <w:spacing w:line="560" w:lineRule="exact"/>
        <w:ind w:firstLine="600" w:firstLineChars="200"/>
        <w:rPr>
          <w:rFonts w:hint="eastAsia" w:ascii="方正仿宋_GBK" w:eastAsia="方正仿宋_GBK"/>
        </w:rPr>
      </w:pPr>
      <w:r>
        <w:rPr>
          <w:rFonts w:hint="eastAsia" w:ascii="方正仿宋_GBK" w:hAnsi="Arial Narrow" w:eastAsia="方正仿宋_GBK" w:cs="Arial"/>
          <w:sz w:val="30"/>
          <w:szCs w:val="30"/>
        </w:rPr>
        <w:t>申报单位须明确专职联络人员及其手机号码、邮箱等联系方式。专职联络人员应具有强烈的责任感和良好的保密意识。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rPr>
          <w:rFonts w:ascii="仿宋_GB2312" w:eastAsia="仿宋_GB2312"/>
          <w:sz w:val="22"/>
          <w:szCs w:val="22"/>
        </w:rPr>
      </w:pPr>
      <w:r>
        <w:rPr>
          <w:rFonts w:ascii="仿宋_GB2312" w:eastAsia="仿宋_GB2312"/>
          <w:sz w:val="22"/>
          <w:szCs w:val="22"/>
        </w:rPr>
        <w:t xml:space="preserve">1 </w:t>
      </w:r>
      <w:r>
        <w:rPr>
          <w:rFonts w:hint="eastAsia" w:ascii="仿宋_GB2312" w:eastAsia="仿宋_GB2312"/>
          <w:sz w:val="22"/>
          <w:szCs w:val="22"/>
        </w:rPr>
        <w:t>页面布局：默认页边距</w:t>
      </w:r>
    </w:p>
    <w:p>
      <w:pPr>
        <w:pStyle w:val="5"/>
        <w:ind w:firstLine="220" w:firstLineChars="100"/>
        <w:rPr>
          <w:rFonts w:ascii="仿宋_GB2312" w:eastAsia="仿宋_GB2312"/>
          <w:sz w:val="22"/>
          <w:szCs w:val="22"/>
        </w:rPr>
      </w:pPr>
      <w:r>
        <w:rPr>
          <w:rFonts w:hint="eastAsia" w:ascii="仿宋_GB2312" w:eastAsia="仿宋_GB2312"/>
          <w:sz w:val="22"/>
          <w:szCs w:val="22"/>
        </w:rPr>
        <w:t>标题：小</w:t>
      </w:r>
      <w:r>
        <w:rPr>
          <w:rFonts w:ascii="仿宋_GB2312" w:eastAsia="仿宋_GB2312"/>
          <w:sz w:val="22"/>
          <w:szCs w:val="22"/>
        </w:rPr>
        <w:t>2</w:t>
      </w:r>
      <w:r>
        <w:rPr>
          <w:rFonts w:hint="eastAsia" w:ascii="仿宋_GB2312" w:eastAsia="仿宋_GB2312"/>
          <w:sz w:val="22"/>
          <w:szCs w:val="22"/>
        </w:rPr>
        <w:t>号，黑体加粗</w:t>
      </w:r>
    </w:p>
    <w:p>
      <w:pPr>
        <w:pStyle w:val="5"/>
        <w:ind w:left="210" w:leftChars="100"/>
        <w:rPr>
          <w:rFonts w:ascii="仿宋_GB2312" w:eastAsia="仿宋_GB2312"/>
          <w:sz w:val="22"/>
          <w:szCs w:val="22"/>
        </w:rPr>
      </w:pPr>
      <w:r>
        <w:rPr>
          <w:rFonts w:hint="eastAsia" w:ascii="仿宋_GB2312" w:eastAsia="仿宋_GB2312"/>
          <w:sz w:val="22"/>
          <w:szCs w:val="22"/>
        </w:rPr>
        <w:t>正文：小</w:t>
      </w:r>
      <w:r>
        <w:rPr>
          <w:rFonts w:ascii="仿宋_GB2312" w:eastAsia="仿宋_GB2312"/>
          <w:sz w:val="22"/>
          <w:szCs w:val="22"/>
        </w:rPr>
        <w:t>3</w:t>
      </w:r>
      <w:r>
        <w:rPr>
          <w:rFonts w:hint="eastAsia" w:ascii="仿宋_GB2312" w:eastAsia="仿宋_GB2312"/>
          <w:sz w:val="22"/>
          <w:szCs w:val="22"/>
        </w:rPr>
        <w:t>号，仿宋</w:t>
      </w:r>
      <w:r>
        <w:rPr>
          <w:rFonts w:ascii="仿宋_GB2312" w:eastAsia="仿宋_GB2312"/>
          <w:sz w:val="22"/>
          <w:szCs w:val="22"/>
        </w:rPr>
        <w:t>_GB2312</w:t>
      </w:r>
      <w:r>
        <w:rPr>
          <w:rFonts w:hint="eastAsia" w:ascii="仿宋_GB2312" w:eastAsia="仿宋_GB2312"/>
          <w:sz w:val="22"/>
          <w:szCs w:val="22"/>
        </w:rPr>
        <w:t>，</w:t>
      </w:r>
      <w:r>
        <w:rPr>
          <w:rFonts w:ascii="仿宋_GB2312" w:eastAsia="仿宋_GB2312"/>
          <w:sz w:val="22"/>
          <w:szCs w:val="22"/>
        </w:rPr>
        <w:t>28</w:t>
      </w:r>
      <w:r>
        <w:rPr>
          <w:rFonts w:hint="eastAsia" w:ascii="仿宋_GB2312" w:eastAsia="仿宋_GB2312"/>
          <w:sz w:val="22"/>
          <w:szCs w:val="22"/>
        </w:rPr>
        <w:t>磅行间距。结构次序数依次用“一、”“（一）”“</w:t>
      </w:r>
      <w:r>
        <w:rPr>
          <w:rFonts w:ascii="仿宋_GB2312" w:eastAsia="仿宋_GB2312"/>
          <w:sz w:val="22"/>
          <w:szCs w:val="22"/>
        </w:rPr>
        <w:t>1.</w:t>
      </w:r>
      <w:r>
        <w:rPr>
          <w:rFonts w:hint="eastAsia" w:ascii="仿宋_GB2312" w:eastAsia="仿宋_GB2312"/>
          <w:sz w:val="22"/>
          <w:szCs w:val="22"/>
        </w:rPr>
        <w:t>”“（</w:t>
      </w:r>
      <w:r>
        <w:rPr>
          <w:rFonts w:ascii="仿宋_GB2312" w:eastAsia="仿宋_GB2312"/>
          <w:sz w:val="22"/>
          <w:szCs w:val="22"/>
        </w:rPr>
        <w:t>1</w:t>
      </w:r>
      <w:r>
        <w:rPr>
          <w:rFonts w:hint="eastAsia" w:ascii="仿宋_GB2312" w:eastAsia="仿宋_GB2312"/>
          <w:sz w:val="22"/>
          <w:szCs w:val="22"/>
        </w:rPr>
        <w:t>）”“①”。</w:t>
      </w:r>
    </w:p>
    <w:p>
      <w:pPr>
        <w:pStyle w:val="5"/>
        <w:ind w:firstLine="220" w:firstLineChars="100"/>
      </w:pPr>
      <w:r>
        <w:rPr>
          <w:rFonts w:hint="eastAsia" w:ascii="仿宋_GB2312" w:eastAsia="仿宋_GB2312"/>
          <w:sz w:val="22"/>
          <w:szCs w:val="22"/>
        </w:rPr>
        <w:t>文中表格：小</w:t>
      </w:r>
      <w:r>
        <w:rPr>
          <w:rFonts w:ascii="仿宋_GB2312" w:eastAsia="仿宋_GB2312"/>
          <w:sz w:val="22"/>
          <w:szCs w:val="22"/>
        </w:rPr>
        <w:t>4</w:t>
      </w:r>
      <w:r>
        <w:rPr>
          <w:rFonts w:hint="eastAsia" w:ascii="仿宋_GB2312" w:eastAsia="仿宋_GB2312"/>
          <w:sz w:val="22"/>
          <w:szCs w:val="22"/>
        </w:rPr>
        <w:t>号宋体，单倍行间距。表头字体小</w:t>
      </w:r>
      <w:r>
        <w:rPr>
          <w:rFonts w:ascii="仿宋_GB2312" w:eastAsia="仿宋_GB2312"/>
          <w:sz w:val="22"/>
          <w:szCs w:val="22"/>
        </w:rPr>
        <w:t>4</w:t>
      </w:r>
      <w:r>
        <w:rPr>
          <w:rFonts w:hint="eastAsia" w:ascii="仿宋_GB2312" w:eastAsia="仿宋_GB2312"/>
          <w:sz w:val="22"/>
          <w:szCs w:val="22"/>
        </w:rPr>
        <w:t>号宋体加粗。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MWNkMmZlNDcxNWZjOGQ3NzAxNDYyZDZhOThmMjUifQ=="/>
  </w:docVars>
  <w:rsids>
    <w:rsidRoot w:val="41042E5F"/>
    <w:rsid w:val="07890DE8"/>
    <w:rsid w:val="4104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next w:val="4"/>
    <w:qFormat/>
    <w:uiPriority w:val="0"/>
    <w:pPr>
      <w:pBdr>
        <w:bottom w:val="single" w:color="auto" w:sz="6" w:space="1"/>
      </w:pBdr>
      <w:tabs>
        <w:tab w:val="center" w:pos="4153"/>
        <w:tab w:val="right" w:pos="8306"/>
      </w:tabs>
      <w:snapToGrid w:val="0"/>
      <w:jc w:val="center"/>
    </w:pPr>
    <w:rPr>
      <w:sz w:val="18"/>
      <w:szCs w:val="18"/>
    </w:rPr>
  </w:style>
  <w:style w:type="paragraph" w:styleId="4">
    <w:name w:val="toc 2"/>
    <w:basedOn w:val="1"/>
    <w:next w:val="1"/>
    <w:qFormat/>
    <w:uiPriority w:val="0"/>
    <w:pPr>
      <w:ind w:left="420" w:leftChars="200"/>
    </w:pPr>
  </w:style>
  <w:style w:type="paragraph" w:styleId="5">
    <w:name w:val="footnote text"/>
    <w:basedOn w:val="1"/>
    <w:semiHidden/>
    <w:qFormat/>
    <w:uiPriority w:val="0"/>
    <w:pPr>
      <w:snapToGrid w:val="0"/>
      <w:jc w:val="left"/>
    </w:pPr>
    <w:rPr>
      <w:kern w:val="0"/>
      <w:sz w:val="18"/>
      <w:szCs w:val="18"/>
    </w:rPr>
  </w:style>
  <w:style w:type="paragraph" w:styleId="6">
    <w:name w:val="Normal (Web)"/>
    <w:basedOn w:val="1"/>
    <w:uiPriority w:val="0"/>
    <w:pPr>
      <w:spacing w:beforeAutospacing="1" w:afterAutospacing="1"/>
      <w:jc w:val="left"/>
    </w:pPr>
    <w:rPr>
      <w:kern w:val="0"/>
      <w:sz w:val="24"/>
    </w:rPr>
  </w:style>
  <w:style w:type="character" w:styleId="9">
    <w:name w:val="page number"/>
    <w:qFormat/>
    <w:uiPriority w:val="0"/>
    <w:rPr>
      <w:rFonts w:cs="Times New Roman"/>
    </w:rPr>
  </w:style>
  <w:style w:type="character" w:styleId="10">
    <w:name w:val="footnote reference"/>
    <w:semiHidden/>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1291</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2023-10-09T07:33:00Z</dcterms:created>
  <dc:creator>王建国</dc:creator>
  <cp:lastModifiedBy>王建国</cp:lastModifiedBy>
  <cp:lastPrinted>2023-10-10T03:36:31Z</cp:lastPrinted>
  <dcterms:modified xsi:type="dcterms:W3CDTF">2023-10-10T06:06:21Z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5275B5609E70469B8F0DFB3B1D6E372A_11</vt:lpwstr>
  </property>
</Properties>
</file>